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DC" w:rsidRPr="00D15E1B" w:rsidRDefault="004F586C" w:rsidP="004F586C">
      <w:pPr>
        <w:jc w:val="center"/>
        <w:rPr>
          <w:b/>
          <w:sz w:val="24"/>
          <w:szCs w:val="24"/>
        </w:rPr>
      </w:pPr>
      <w:r w:rsidRPr="00D15E1B">
        <w:rPr>
          <w:b/>
          <w:sz w:val="24"/>
          <w:szCs w:val="24"/>
        </w:rPr>
        <w:t xml:space="preserve">Thuisverbruik van </w:t>
      </w:r>
      <w:r w:rsidR="00AF5C5D" w:rsidRPr="00D15E1B">
        <w:rPr>
          <w:b/>
          <w:sz w:val="24"/>
          <w:szCs w:val="24"/>
        </w:rPr>
        <w:t xml:space="preserve">verse </w:t>
      </w:r>
      <w:r w:rsidRPr="00D15E1B">
        <w:rPr>
          <w:b/>
          <w:sz w:val="24"/>
          <w:szCs w:val="24"/>
        </w:rPr>
        <w:t xml:space="preserve">groenten en </w:t>
      </w:r>
      <w:r w:rsidR="00060D0E">
        <w:rPr>
          <w:b/>
          <w:sz w:val="24"/>
          <w:szCs w:val="24"/>
        </w:rPr>
        <w:t xml:space="preserve">vers </w:t>
      </w:r>
      <w:r w:rsidRPr="00D15E1B">
        <w:rPr>
          <w:b/>
          <w:sz w:val="24"/>
          <w:szCs w:val="24"/>
        </w:rPr>
        <w:t>fruit in België in 2016</w:t>
      </w:r>
    </w:p>
    <w:p w:rsidR="00AE6D42" w:rsidRPr="00D15E1B" w:rsidRDefault="00AE6D42" w:rsidP="002F42AC">
      <w:pPr>
        <w:spacing w:before="240" w:after="120"/>
        <w:rPr>
          <w:b/>
          <w:i/>
        </w:rPr>
      </w:pPr>
      <w:r w:rsidRPr="00D15E1B">
        <w:rPr>
          <w:b/>
          <w:i/>
        </w:rPr>
        <w:t xml:space="preserve">De gemiddelde Belg kocht in 2016, net als in 2015, 39,1 kg </w:t>
      </w:r>
      <w:r w:rsidR="00826A45" w:rsidRPr="00D15E1B">
        <w:rPr>
          <w:b/>
          <w:i/>
        </w:rPr>
        <w:t xml:space="preserve">verse groenten. Het thuisverbruik van fruit daalde licht naar 46,6 kg per capita. Door de hogere gemiddelde prijs van groenten en fruit steeg de besteding voor beide productgroepen wel tot 95,40 euro per capita voor verse groenten en 46,60 euro voor vers fruit. Binnen de groenterayon zijn tomaten de koploper, met kerstomaten als stijgend segment, gevolgd door wortelen en ajuinen. Bij fruit zijn appelen de meest gekochte soort, gevolgd door bananen en sinaasappelen. Jonagold blijft de belangrijkste appelsoort, maar verliest wel jaarlijks aandeel. </w:t>
      </w:r>
      <w:r w:rsidR="008E45B8" w:rsidRPr="00D15E1B">
        <w:rPr>
          <w:b/>
          <w:i/>
        </w:rPr>
        <w:t>Qua distributiekanalen blijven de hypermarkten en grotere supermarkten (DIS 1) de belangrijkste speler</w:t>
      </w:r>
      <w:r w:rsidR="00060D0E">
        <w:rPr>
          <w:b/>
          <w:i/>
        </w:rPr>
        <w:t>s</w:t>
      </w:r>
      <w:r w:rsidR="008E45B8" w:rsidRPr="00D15E1B">
        <w:rPr>
          <w:b/>
          <w:i/>
        </w:rPr>
        <w:t xml:space="preserve"> met een </w:t>
      </w:r>
      <w:r w:rsidR="00060D0E">
        <w:rPr>
          <w:b/>
          <w:i/>
        </w:rPr>
        <w:t xml:space="preserve">gezamenlijk </w:t>
      </w:r>
      <w:r w:rsidR="008E45B8" w:rsidRPr="00D15E1B">
        <w:rPr>
          <w:b/>
          <w:i/>
        </w:rPr>
        <w:t xml:space="preserve">volumeaandeel van bijna 50%. Hard discount kon </w:t>
      </w:r>
      <w:r w:rsidR="00060D0E">
        <w:rPr>
          <w:b/>
          <w:i/>
        </w:rPr>
        <w:t>de</w:t>
      </w:r>
      <w:r w:rsidR="008E45B8" w:rsidRPr="00D15E1B">
        <w:rPr>
          <w:b/>
          <w:i/>
        </w:rPr>
        <w:t xml:space="preserve"> groei van de voorbije jaren niet v</w:t>
      </w:r>
      <w:r w:rsidR="00CE2522">
        <w:rPr>
          <w:b/>
          <w:i/>
        </w:rPr>
        <w:t>oortzetten</w:t>
      </w:r>
      <w:r w:rsidR="008E45B8" w:rsidRPr="00D15E1B">
        <w:rPr>
          <w:b/>
          <w:i/>
        </w:rPr>
        <w:t xml:space="preserve"> en bleef hangen op een aandeel van 24%. De </w:t>
      </w:r>
      <w:r w:rsidR="002F42AC" w:rsidRPr="00D15E1B">
        <w:rPr>
          <w:b/>
          <w:i/>
        </w:rPr>
        <w:t xml:space="preserve">groente- en fruitwinkels, de openbare markt en de rechtstreeks aankoop op de hoeve blijven verder terrein verliezen. Dat </w:t>
      </w:r>
      <w:r w:rsidR="00060D0E">
        <w:rPr>
          <w:b/>
          <w:i/>
        </w:rPr>
        <w:t xml:space="preserve">alles </w:t>
      </w:r>
      <w:r w:rsidR="00184E77" w:rsidRPr="00D15E1B">
        <w:rPr>
          <w:b/>
          <w:i/>
        </w:rPr>
        <w:t xml:space="preserve">leert VLAM uit de cijfers </w:t>
      </w:r>
      <w:r w:rsidR="002F42AC" w:rsidRPr="00D15E1B">
        <w:rPr>
          <w:b/>
          <w:i/>
        </w:rPr>
        <w:t xml:space="preserve">die het marktonderzoeksbureau </w:t>
      </w:r>
      <w:proofErr w:type="spellStart"/>
      <w:r w:rsidR="002F42AC" w:rsidRPr="00D15E1B">
        <w:rPr>
          <w:b/>
          <w:i/>
        </w:rPr>
        <w:t>GfK</w:t>
      </w:r>
      <w:proofErr w:type="spellEnd"/>
      <w:r w:rsidR="002F42AC" w:rsidRPr="00D15E1B">
        <w:rPr>
          <w:b/>
          <w:i/>
        </w:rPr>
        <w:t xml:space="preserve"> Belgium via </w:t>
      </w:r>
      <w:r w:rsidR="00CE2522">
        <w:rPr>
          <w:b/>
          <w:i/>
        </w:rPr>
        <w:t>zijn</w:t>
      </w:r>
      <w:r w:rsidR="002F42AC" w:rsidRPr="00D15E1B">
        <w:rPr>
          <w:b/>
          <w:i/>
        </w:rPr>
        <w:t xml:space="preserve"> panel van </w:t>
      </w:r>
      <w:r w:rsidR="00184E77" w:rsidRPr="00D15E1B">
        <w:rPr>
          <w:b/>
          <w:i/>
        </w:rPr>
        <w:t xml:space="preserve">5.000 Belgische gezinnen </w:t>
      </w:r>
      <w:r w:rsidR="002F42AC" w:rsidRPr="00D15E1B">
        <w:rPr>
          <w:b/>
          <w:i/>
        </w:rPr>
        <w:t>verzamelde.</w:t>
      </w:r>
    </w:p>
    <w:p w:rsidR="004F586C" w:rsidRPr="00D15E1B" w:rsidRDefault="004F586C" w:rsidP="000B7F84">
      <w:pPr>
        <w:spacing w:before="360" w:after="120"/>
        <w:rPr>
          <w:b/>
        </w:rPr>
      </w:pPr>
      <w:r w:rsidRPr="00D15E1B">
        <w:rPr>
          <w:b/>
        </w:rPr>
        <w:t xml:space="preserve">Stabiel </w:t>
      </w:r>
      <w:r w:rsidR="006E2878" w:rsidRPr="00D15E1B">
        <w:rPr>
          <w:b/>
        </w:rPr>
        <w:t xml:space="preserve">thuisverbruik voor </w:t>
      </w:r>
      <w:r w:rsidRPr="00D15E1B">
        <w:rPr>
          <w:b/>
        </w:rPr>
        <w:t>groente</w:t>
      </w:r>
      <w:r w:rsidR="006E2878" w:rsidRPr="00D15E1B">
        <w:rPr>
          <w:b/>
        </w:rPr>
        <w:t>n</w:t>
      </w:r>
    </w:p>
    <w:p w:rsidR="004F586C" w:rsidRPr="00D15E1B" w:rsidRDefault="004F586C">
      <w:r w:rsidRPr="00D15E1B">
        <w:t>Het thuisverbruik van verse groenten blijft al een aa</w:t>
      </w:r>
      <w:r w:rsidR="008250F9" w:rsidRPr="00D15E1B">
        <w:t>ntal ja</w:t>
      </w:r>
      <w:r w:rsidR="00060D0E">
        <w:t>ren</w:t>
      </w:r>
      <w:r w:rsidR="008250F9" w:rsidRPr="00D15E1B">
        <w:t xml:space="preserve"> op nagenoeg hetzelfde peil, namelijk</w:t>
      </w:r>
      <w:r w:rsidRPr="00D15E1B">
        <w:t xml:space="preserve"> 39 à 40 kg per Belg. In 2016 kwamen we uit op 39,1 kg per capita, exact evenveel als in 2015. </w:t>
      </w:r>
      <w:r w:rsidR="00DE5998" w:rsidRPr="00D15E1B">
        <w:t xml:space="preserve">Door een stijging van de gemiddelde prijs van 2,36 euro per kg in 2015 naar 2,44 euro in 2016 noteren we wel een stijging in de besteding met 3,4% tot 95,40 euro per capita. </w:t>
      </w:r>
      <w:r w:rsidR="005F61F8" w:rsidRPr="00D15E1B">
        <w:t>Nagenoeg alle Belgische g</w:t>
      </w:r>
      <w:r w:rsidR="008250F9" w:rsidRPr="00D15E1B">
        <w:t>ezinnen kopen verse groenten. Z</w:t>
      </w:r>
      <w:r w:rsidR="005F61F8" w:rsidRPr="00D15E1B">
        <w:t xml:space="preserve">e doen dit gemiddeld 58 keer per jaar. </w:t>
      </w:r>
      <w:r w:rsidR="00672824" w:rsidRPr="00D15E1B">
        <w:t>Vlamingen en gezinnen uit de hogere sociale groep kopen in verhouding meer verse groenten dan Walen en gezinnen uit de middelste en lagere sociale groep.</w:t>
      </w:r>
    </w:p>
    <w:p w:rsidR="008250F9" w:rsidRPr="00D15E1B" w:rsidRDefault="008250F9" w:rsidP="008250F9">
      <w:pPr>
        <w:spacing w:after="0"/>
        <w:jc w:val="center"/>
      </w:pPr>
      <w:r w:rsidRPr="00D15E1B">
        <w:rPr>
          <w:noProof/>
          <w:lang w:eastAsia="nl-BE"/>
        </w:rPr>
        <w:drawing>
          <wp:inline distT="0" distB="0" distL="0" distR="0">
            <wp:extent cx="4126230" cy="2449001"/>
            <wp:effectExtent l="0" t="0" r="7620" b="889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250F9" w:rsidRPr="00D15E1B" w:rsidRDefault="008250F9" w:rsidP="008250F9">
      <w:pPr>
        <w:ind w:left="1276"/>
        <w:rPr>
          <w:i/>
        </w:rPr>
      </w:pPr>
      <w:r w:rsidRPr="00D15E1B">
        <w:rPr>
          <w:i/>
        </w:rPr>
        <w:t>Bron: GfK Belgium</w:t>
      </w:r>
    </w:p>
    <w:p w:rsidR="00C708E0" w:rsidRPr="00D15E1B" w:rsidRDefault="00C708E0" w:rsidP="00C708E0">
      <w:r w:rsidRPr="00D15E1B">
        <w:t>Binnen het verse groentesegment stijgen de voorverpakte v</w:t>
      </w:r>
      <w:r w:rsidR="008A6AB1">
        <w:t>e</w:t>
      </w:r>
      <w:r w:rsidRPr="00D15E1B">
        <w:t>rwerkte groenten verder door van 3,3 kg per capita in 2015 naar 3,6 kg in 2016. Hiermee namen ze in 2016 een aandeel van 9% in volume en 16% in bestedingen in.</w:t>
      </w:r>
    </w:p>
    <w:p w:rsidR="006E2878" w:rsidRPr="00D15E1B" w:rsidRDefault="006E2878" w:rsidP="000B7F84">
      <w:pPr>
        <w:spacing w:before="360" w:after="120"/>
        <w:rPr>
          <w:b/>
        </w:rPr>
      </w:pPr>
      <w:r w:rsidRPr="00D15E1B">
        <w:rPr>
          <w:b/>
        </w:rPr>
        <w:t>Licht dalend thuisverbruik van fruit</w:t>
      </w:r>
    </w:p>
    <w:p w:rsidR="006E2878" w:rsidRPr="00D15E1B" w:rsidRDefault="001A034A" w:rsidP="006E2878">
      <w:r w:rsidRPr="00D15E1B">
        <w:t xml:space="preserve">Het thuisverbruik van fruit daalde van 47,0 kg per capita in 2015 tot 46,6 kg per capita in 2016. Dit stemt overeen met een daling van 0,9%. Na een stabilisatie in 2015 zet fruit dus zijn dalende trend van de afgelopen jaren verder. Net als bij groenten, stijgt door een hogere gemiddelde prijs de </w:t>
      </w:r>
      <w:r w:rsidRPr="00D15E1B">
        <w:lastRenderedPageBreak/>
        <w:t xml:space="preserve">fruitbesteding wel van 111,8 euro per capita in 2015 naar 116,7 euro in 2016 (+4,4%). Een gemiddeld Belgisch gezin koopt 51 keer per jaar fruit. </w:t>
      </w:r>
      <w:r w:rsidR="00BB3212" w:rsidRPr="00D15E1B">
        <w:t xml:space="preserve">Vlaamse </w:t>
      </w:r>
      <w:r w:rsidR="00EC46B6" w:rsidRPr="00D15E1B">
        <w:t>huishoudens</w:t>
      </w:r>
      <w:r w:rsidR="00BB3212" w:rsidRPr="00D15E1B">
        <w:t xml:space="preserve"> zijn grotere fruitkopers dan Waalse </w:t>
      </w:r>
      <w:r w:rsidR="00EC46B6" w:rsidRPr="00D15E1B">
        <w:t>en oudere huishoudens grotere dan jongere.</w:t>
      </w:r>
    </w:p>
    <w:p w:rsidR="001A034A" w:rsidRPr="00D15E1B" w:rsidRDefault="001A034A" w:rsidP="001A034A">
      <w:pPr>
        <w:spacing w:after="0"/>
        <w:jc w:val="center"/>
      </w:pPr>
      <w:r w:rsidRPr="00D15E1B">
        <w:rPr>
          <w:noProof/>
          <w:lang w:eastAsia="nl-BE"/>
        </w:rPr>
        <w:drawing>
          <wp:inline distT="0" distB="0" distL="0" distR="0" wp14:anchorId="1BEC1AC9" wp14:editId="4BCC6444">
            <wp:extent cx="4126230" cy="2297927"/>
            <wp:effectExtent l="0" t="0" r="7620" b="762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A034A" w:rsidRPr="00D15E1B" w:rsidRDefault="001A034A" w:rsidP="001A034A">
      <w:pPr>
        <w:ind w:left="1276"/>
        <w:rPr>
          <w:i/>
        </w:rPr>
      </w:pPr>
      <w:r w:rsidRPr="00D15E1B">
        <w:rPr>
          <w:i/>
        </w:rPr>
        <w:t>Bron: GfK Belgium</w:t>
      </w:r>
    </w:p>
    <w:p w:rsidR="008250F9" w:rsidRPr="00D15E1B" w:rsidRDefault="008F5EEA" w:rsidP="000B7F84">
      <w:pPr>
        <w:spacing w:before="360" w:after="120"/>
        <w:rPr>
          <w:b/>
        </w:rPr>
      </w:pPr>
      <w:r w:rsidRPr="00D15E1B">
        <w:rPr>
          <w:b/>
        </w:rPr>
        <w:t>Tomaat blijft de meest gekochte groentesoort</w:t>
      </w:r>
    </w:p>
    <w:p w:rsidR="00672824" w:rsidRPr="00D15E1B" w:rsidRDefault="00C149F3">
      <w:r w:rsidRPr="00D15E1B">
        <w:t>De tomaat blijft de koploper binnen het groenteassortiment met een thuisverbruik van 6,0 kg per capita, gevolgd door wortelen met 5,8 kg per capita en ajuin met 4,4 kg per capita.</w:t>
      </w:r>
      <w:r w:rsidR="005A09B0" w:rsidRPr="00D15E1B">
        <w:t xml:space="preserve"> </w:t>
      </w:r>
      <w:r w:rsidR="00E612D1" w:rsidRPr="00D15E1B">
        <w:t xml:space="preserve">Binnen het tomatensegment winnen vooral de kerstomaten aandeel ten koste van de gewone tomaten. </w:t>
      </w:r>
      <w:r w:rsidR="00295C7F" w:rsidRPr="00D15E1B">
        <w:t xml:space="preserve">In waarde zijn kerstomaten ondertussen zelfs het belangrijkste segment geworden binnen de tomatenrayon. </w:t>
      </w:r>
      <w:r w:rsidR="005A09B0" w:rsidRPr="00D15E1B">
        <w:t xml:space="preserve">De </w:t>
      </w:r>
      <w:r w:rsidR="003D38DF" w:rsidRPr="00D15E1B">
        <w:t>belangrijkste stijgers in 2016 waren diverse s</w:t>
      </w:r>
      <w:r w:rsidR="005A09B0" w:rsidRPr="00D15E1B">
        <w:t>la</w:t>
      </w:r>
      <w:r w:rsidR="003D38DF" w:rsidRPr="00D15E1B">
        <w:t>soorten</w:t>
      </w:r>
      <w:r w:rsidR="005A09B0" w:rsidRPr="00D15E1B">
        <w:t xml:space="preserve"> (andere dan kropsla</w:t>
      </w:r>
      <w:r w:rsidR="003D38DF" w:rsidRPr="00D15E1B">
        <w:t>;</w:t>
      </w:r>
      <w:r w:rsidR="005A09B0" w:rsidRPr="00D15E1B">
        <w:t xml:space="preserve"> met rucola op kop), courgettes, spinazie en aubergines. Bij de dalers noteren we o.a. kropsla</w:t>
      </w:r>
      <w:r w:rsidR="003D38DF" w:rsidRPr="00D15E1B">
        <w:t xml:space="preserve"> en </w:t>
      </w:r>
      <w:r w:rsidR="005A09B0" w:rsidRPr="00D15E1B">
        <w:t>bloemkool</w:t>
      </w:r>
      <w:r w:rsidR="003D38DF" w:rsidRPr="00D15E1B">
        <w:t>.</w:t>
      </w:r>
      <w:r w:rsidR="0019267D" w:rsidRPr="00D15E1B">
        <w:t xml:space="preserve"> </w:t>
      </w:r>
    </w:p>
    <w:p w:rsidR="00672824" w:rsidRPr="00D15E1B" w:rsidRDefault="005A09B0" w:rsidP="005A09B0">
      <w:pPr>
        <w:spacing w:after="0"/>
        <w:jc w:val="center"/>
      </w:pPr>
      <w:r w:rsidRPr="00D15E1B">
        <w:rPr>
          <w:noProof/>
          <w:lang w:eastAsia="nl-BE"/>
        </w:rPr>
        <w:drawing>
          <wp:inline distT="0" distB="0" distL="0" distR="0" wp14:anchorId="59F40D40" wp14:editId="02AD35A2">
            <wp:extent cx="4864735" cy="2313829"/>
            <wp:effectExtent l="0" t="0" r="12065" b="1079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09B0" w:rsidRPr="00D15E1B" w:rsidRDefault="005A09B0" w:rsidP="000B7F84">
      <w:pPr>
        <w:ind w:left="709"/>
        <w:rPr>
          <w:i/>
        </w:rPr>
      </w:pPr>
      <w:r w:rsidRPr="00D15E1B">
        <w:rPr>
          <w:i/>
        </w:rPr>
        <w:t>Bron: GfK Belgium</w:t>
      </w:r>
    </w:p>
    <w:p w:rsidR="005A09B0" w:rsidRPr="00D15E1B" w:rsidRDefault="003A583F">
      <w:r w:rsidRPr="00D15E1B">
        <w:t>De Vlamin</w:t>
      </w:r>
      <w:r w:rsidR="004261CB" w:rsidRPr="00D15E1B">
        <w:t>g neigt in verhouding eerder naar paprika</w:t>
      </w:r>
      <w:r w:rsidR="00511862" w:rsidRPr="00D15E1B">
        <w:t>, prei, champignons, broccoli,</w:t>
      </w:r>
      <w:r w:rsidR="004261CB" w:rsidRPr="00D15E1B">
        <w:t xml:space="preserve"> bloemkool</w:t>
      </w:r>
      <w:r w:rsidR="00511862" w:rsidRPr="00D15E1B">
        <w:t>, spruitjes en spinazie</w:t>
      </w:r>
      <w:r w:rsidR="004261CB" w:rsidRPr="00D15E1B">
        <w:t xml:space="preserve">, terwijl de Waal in verhouding eerder kiest voor ajuin, witloof, </w:t>
      </w:r>
      <w:r w:rsidR="00511862" w:rsidRPr="00D15E1B">
        <w:t xml:space="preserve">courgette, sla, </w:t>
      </w:r>
      <w:r w:rsidR="004261CB" w:rsidRPr="00D15E1B">
        <w:t>sjalot</w:t>
      </w:r>
      <w:r w:rsidR="00511862" w:rsidRPr="00D15E1B">
        <w:t>, andijvie en aubergine</w:t>
      </w:r>
      <w:r w:rsidR="004261CB" w:rsidRPr="00D15E1B">
        <w:t xml:space="preserve">. De Brusselaar springt er bovenuit voor tomaten, komkommer en </w:t>
      </w:r>
      <w:proofErr w:type="spellStart"/>
      <w:r w:rsidR="004261CB" w:rsidRPr="00D15E1B">
        <w:t>princessenboontjes</w:t>
      </w:r>
      <w:proofErr w:type="spellEnd"/>
      <w:r w:rsidR="004261CB" w:rsidRPr="00D15E1B">
        <w:t>. Groentesoorten die eerder in de smaak vallen bij jongere gezinnen zijn tomaten, wortelen, paprika, courgette, champignons, komkommer</w:t>
      </w:r>
      <w:r w:rsidR="00511862" w:rsidRPr="00D15E1B">
        <w:t xml:space="preserve">, </w:t>
      </w:r>
      <w:r w:rsidR="004261CB" w:rsidRPr="00D15E1B">
        <w:t>aubergine</w:t>
      </w:r>
      <w:r w:rsidR="00511862" w:rsidRPr="00D15E1B">
        <w:t xml:space="preserve"> en diverse slasoorten</w:t>
      </w:r>
      <w:r w:rsidR="004261CB" w:rsidRPr="00D15E1B">
        <w:t xml:space="preserve">. Oudere </w:t>
      </w:r>
      <w:r w:rsidR="004261CB" w:rsidRPr="00D15E1B">
        <w:lastRenderedPageBreak/>
        <w:t xml:space="preserve">gezinnen kiezen daarentegen in verhouding eerder voor witloof, prei, </w:t>
      </w:r>
      <w:r w:rsidR="00511862" w:rsidRPr="00D15E1B">
        <w:t>koolsoorten</w:t>
      </w:r>
      <w:r w:rsidR="00E612D1" w:rsidRPr="00D15E1B">
        <w:t xml:space="preserve">, </w:t>
      </w:r>
      <w:r w:rsidR="004261CB" w:rsidRPr="00D15E1B">
        <w:t>kropsla</w:t>
      </w:r>
      <w:r w:rsidR="00E612D1" w:rsidRPr="00D15E1B">
        <w:t>, selder, sjalot en asperges.</w:t>
      </w:r>
    </w:p>
    <w:p w:rsidR="005A04F2" w:rsidRPr="00D15E1B" w:rsidRDefault="005A04F2" w:rsidP="000B7F84">
      <w:pPr>
        <w:spacing w:before="360" w:after="120"/>
        <w:rPr>
          <w:b/>
        </w:rPr>
      </w:pPr>
      <w:r w:rsidRPr="00D15E1B">
        <w:rPr>
          <w:b/>
        </w:rPr>
        <w:t>Appel blijft koploper binnen</w:t>
      </w:r>
      <w:r w:rsidR="0062069B" w:rsidRPr="00D15E1B">
        <w:rPr>
          <w:b/>
        </w:rPr>
        <w:t xml:space="preserve"> fruit</w:t>
      </w:r>
      <w:r w:rsidRPr="00D15E1B">
        <w:rPr>
          <w:b/>
        </w:rPr>
        <w:t>, maar verliest aandeel</w:t>
      </w:r>
    </w:p>
    <w:p w:rsidR="000E5D52" w:rsidRPr="00D15E1B" w:rsidRDefault="005A04F2" w:rsidP="005A04F2">
      <w:r w:rsidRPr="00D15E1B">
        <w:t xml:space="preserve">De appel bleef in 2016 de fruitsoort met het hoogste thuisverbruik (8,4 kg per capita), gevolgd door bananen met 7,5 kg per capita en sinaasappelen met 7,3 kg. Het thuisverbruik van appelen kent wel een jaarlijkse daling waardoor </w:t>
      </w:r>
      <w:r w:rsidR="00A01CC8" w:rsidRPr="00D15E1B">
        <w:t>ze</w:t>
      </w:r>
      <w:r w:rsidRPr="00D15E1B">
        <w:t xml:space="preserve"> hun volumeaandeel binnen de fruitkorf zien dalen van 21% in 2008 naar 18% in 2016. </w:t>
      </w:r>
      <w:r w:rsidR="000E5D52" w:rsidRPr="00D15E1B">
        <w:t xml:space="preserve">Ook sinaasappelen, peren en pompelmoezen verliezen aandeel. Enkele stijgers zijn </w:t>
      </w:r>
      <w:r w:rsidR="00A01CC8" w:rsidRPr="00D15E1B">
        <w:t xml:space="preserve">meloenen en enkele kleinere fruitsoorten zoals </w:t>
      </w:r>
      <w:r w:rsidR="000E5D52" w:rsidRPr="00D15E1B">
        <w:t>frambozen, b</w:t>
      </w:r>
      <w:r w:rsidR="00A01CC8" w:rsidRPr="00D15E1B">
        <w:t xml:space="preserve">lauwe bosbessen </w:t>
      </w:r>
      <w:r w:rsidR="000E5D52" w:rsidRPr="00D15E1B">
        <w:t>en vijgen.</w:t>
      </w:r>
      <w:r w:rsidR="00F52A54" w:rsidRPr="00D15E1B">
        <w:t xml:space="preserve"> Jonge huishoudens kiezen eerder voor appelen, bananen en meloenen. Oudere huishoudens neigen eerder naar sinaasappelen</w:t>
      </w:r>
      <w:r w:rsidR="00CD1312" w:rsidRPr="00D15E1B">
        <w:t xml:space="preserve">, </w:t>
      </w:r>
      <w:r w:rsidR="00F52A54" w:rsidRPr="00D15E1B">
        <w:t>peren</w:t>
      </w:r>
      <w:r w:rsidR="00CD1312" w:rsidRPr="00D15E1B">
        <w:t>, perziken, nectarines, …</w:t>
      </w:r>
    </w:p>
    <w:p w:rsidR="00BC1B72" w:rsidRPr="00D15E1B" w:rsidRDefault="00BC1B72" w:rsidP="00BC1B72">
      <w:pPr>
        <w:spacing w:after="0"/>
        <w:jc w:val="center"/>
      </w:pPr>
      <w:r w:rsidRPr="00D15E1B">
        <w:rPr>
          <w:noProof/>
          <w:lang w:eastAsia="nl-BE"/>
        </w:rPr>
        <w:drawing>
          <wp:inline distT="0" distB="0" distL="0" distR="0" wp14:anchorId="0BAC0C4F" wp14:editId="6260D83D">
            <wp:extent cx="5509895" cy="2528515"/>
            <wp:effectExtent l="0" t="0" r="14605" b="571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1B72" w:rsidRPr="00D15E1B" w:rsidRDefault="00BC1B72" w:rsidP="00424CF4">
      <w:pPr>
        <w:ind w:left="142"/>
        <w:rPr>
          <w:i/>
        </w:rPr>
      </w:pPr>
      <w:r w:rsidRPr="00D15E1B">
        <w:rPr>
          <w:i/>
        </w:rPr>
        <w:t>Bron: GfK Belgium</w:t>
      </w:r>
    </w:p>
    <w:p w:rsidR="00A01CC8" w:rsidRPr="00D15E1B" w:rsidRDefault="00A01CC8" w:rsidP="00A01CC8">
      <w:r w:rsidRPr="00D15E1B">
        <w:t xml:space="preserve">Binnen de appelrayon is Jonagold de koploper met een volumeaandeel van 42%. Het thuisverbruik van Jonagold kent wel een jaarlijkse daling. In 2008 kocht de gemiddelde Belg nog 5,4 kg Jonagold, terwijl dit in 2016 nog 3,6 kg per capita </w:t>
      </w:r>
      <w:r w:rsidR="00893496">
        <w:t>was</w:t>
      </w:r>
      <w:r w:rsidRPr="00D15E1B">
        <w:t>. Pink Lady is de afgelopen 8 jaar de belangrijkste groeier en is de 2</w:t>
      </w:r>
      <w:r w:rsidRPr="00D15E1B">
        <w:rPr>
          <w:vertAlign w:val="superscript"/>
        </w:rPr>
        <w:t>de</w:t>
      </w:r>
      <w:r w:rsidRPr="00D15E1B">
        <w:t xml:space="preserve"> belangrijkste appelsoort geworden, met een thuisverbruik van 0,9 kg per capita. In 2016 kende Pink Lady wel een lichte terugval. Dé stijger in 2016 was </w:t>
      </w:r>
      <w:proofErr w:type="spellStart"/>
      <w:r w:rsidRPr="00D15E1B">
        <w:t>Braeburn</w:t>
      </w:r>
      <w:proofErr w:type="spellEnd"/>
      <w:r w:rsidRPr="00D15E1B">
        <w:t xml:space="preserve"> (van 0,2 naar 0,4 kg per capita).</w:t>
      </w:r>
    </w:p>
    <w:p w:rsidR="00E612D1" w:rsidRPr="00D15E1B" w:rsidRDefault="000D5359" w:rsidP="000B7F84">
      <w:pPr>
        <w:spacing w:before="360" w:after="120"/>
        <w:rPr>
          <w:b/>
        </w:rPr>
      </w:pPr>
      <w:r w:rsidRPr="00D15E1B">
        <w:rPr>
          <w:b/>
        </w:rPr>
        <w:t>DIS 1 blijft de marktleider</w:t>
      </w:r>
      <w:r w:rsidR="00A14C5A" w:rsidRPr="00D15E1B">
        <w:rPr>
          <w:b/>
        </w:rPr>
        <w:t xml:space="preserve"> op vlak van verse groenten en </w:t>
      </w:r>
      <w:r w:rsidR="00893496">
        <w:rPr>
          <w:b/>
        </w:rPr>
        <w:t xml:space="preserve">vers </w:t>
      </w:r>
      <w:r w:rsidR="00A14C5A" w:rsidRPr="00D15E1B">
        <w:rPr>
          <w:b/>
        </w:rPr>
        <w:t>fruit</w:t>
      </w:r>
    </w:p>
    <w:p w:rsidR="005A09B0" w:rsidRPr="00D15E1B" w:rsidRDefault="00A14C5A">
      <w:r w:rsidRPr="00D15E1B">
        <w:t>49</w:t>
      </w:r>
      <w:r w:rsidR="000B7F84" w:rsidRPr="00D15E1B">
        <w:t>% van het aangekochte volume verse groenten</w:t>
      </w:r>
      <w:r w:rsidRPr="00D15E1B">
        <w:t xml:space="preserve"> en </w:t>
      </w:r>
      <w:r w:rsidR="00893496">
        <w:t xml:space="preserve">vers </w:t>
      </w:r>
      <w:r w:rsidRPr="00D15E1B">
        <w:t>fruit</w:t>
      </w:r>
      <w:r w:rsidR="000B7F84" w:rsidRPr="00D15E1B">
        <w:t xml:space="preserve"> passeerde in 2016 bij DIS 1 (hypermarkten en grotere supermarkten) langs</w:t>
      </w:r>
      <w:r w:rsidRPr="00D15E1B">
        <w:t xml:space="preserve"> de kassa. Dit is 0,5</w:t>
      </w:r>
      <w:r w:rsidR="000B7F84" w:rsidRPr="00D15E1B">
        <w:t xml:space="preserve"> procentpunt hoger dan in 2015. Hard discount (Aldi en Lidl</w:t>
      </w:r>
      <w:r w:rsidRPr="00D15E1B">
        <w:t>) heeft een volumeaandeel van 24</w:t>
      </w:r>
      <w:r w:rsidR="000B7F84" w:rsidRPr="00D15E1B">
        <w:t xml:space="preserve">%. Na een jaarlijkse </w:t>
      </w:r>
      <w:r w:rsidRPr="00D15E1B">
        <w:t>stijging tussen 2010</w:t>
      </w:r>
      <w:r w:rsidR="000B7F84" w:rsidRPr="00D15E1B">
        <w:t xml:space="preserve"> en 2015</w:t>
      </w:r>
      <w:r w:rsidRPr="00D15E1B">
        <w:t xml:space="preserve"> voor hard discount</w:t>
      </w:r>
      <w:r w:rsidR="000B7F84" w:rsidRPr="00D15E1B">
        <w:t>, noteerden we in 2016 een stabilisatie. Ook de buurtsupermarkten bleven stabiel op 14% volumeaandeel. De supermarkten haalden in 2016</w:t>
      </w:r>
      <w:r w:rsidRPr="00D15E1B">
        <w:t xml:space="preserve"> dus samen een aandeel van 87</w:t>
      </w:r>
      <w:r w:rsidR="000B7F84" w:rsidRPr="00D15E1B">
        <w:t xml:space="preserve">%. </w:t>
      </w:r>
      <w:r w:rsidR="006E118F" w:rsidRPr="00D15E1B">
        <w:t>Verse g</w:t>
      </w:r>
      <w:r w:rsidR="000B7F84" w:rsidRPr="00D15E1B">
        <w:t xml:space="preserve">roenten </w:t>
      </w:r>
      <w:r w:rsidR="006E118F" w:rsidRPr="00D15E1B">
        <w:t xml:space="preserve">en </w:t>
      </w:r>
      <w:r w:rsidR="00CE2522">
        <w:t xml:space="preserve">vers </w:t>
      </w:r>
      <w:r w:rsidR="006E118F" w:rsidRPr="00D15E1B">
        <w:t xml:space="preserve">fruit </w:t>
      </w:r>
      <w:r w:rsidR="000B7F84" w:rsidRPr="00D15E1B">
        <w:t>worden steeds meer supermarkt</w:t>
      </w:r>
      <w:r w:rsidR="00893496">
        <w:t xml:space="preserve">producten </w:t>
      </w:r>
      <w:r w:rsidR="000B7F84" w:rsidRPr="00D15E1B">
        <w:t>ten koste van de markten, groentewinkels en rechtstreeks</w:t>
      </w:r>
      <w:r w:rsidR="00CE2522">
        <w:t>e</w:t>
      </w:r>
      <w:r w:rsidR="000B7F84" w:rsidRPr="00D15E1B">
        <w:t xml:space="preserve"> aankoop.</w:t>
      </w:r>
      <w:r w:rsidR="006E118F" w:rsidRPr="00D15E1B">
        <w:t xml:space="preserve"> </w:t>
      </w:r>
    </w:p>
    <w:p w:rsidR="000B7F84" w:rsidRPr="00D15E1B" w:rsidRDefault="000B7F84" w:rsidP="003105CB">
      <w:pPr>
        <w:spacing w:after="0"/>
        <w:jc w:val="center"/>
      </w:pPr>
      <w:r w:rsidRPr="00D15E1B">
        <w:rPr>
          <w:noProof/>
          <w:lang w:eastAsia="nl-BE"/>
        </w:rPr>
        <w:lastRenderedPageBreak/>
        <w:drawing>
          <wp:inline distT="0" distB="0" distL="0" distR="0" wp14:anchorId="4D4B0C51" wp14:editId="53246ACC">
            <wp:extent cx="5357495" cy="2949934"/>
            <wp:effectExtent l="0" t="0" r="14605" b="317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05CB" w:rsidRPr="00D15E1B" w:rsidRDefault="00184E77" w:rsidP="00184E77">
      <w:pPr>
        <w:ind w:left="284"/>
      </w:pPr>
      <w:r w:rsidRPr="00D15E1B">
        <w:rPr>
          <w:i/>
        </w:rPr>
        <w:t>Bron: GfK Belgium</w:t>
      </w:r>
      <w:bookmarkStart w:id="0" w:name="_GoBack"/>
      <w:bookmarkEnd w:id="0"/>
    </w:p>
    <w:sectPr w:rsidR="003105CB" w:rsidRPr="00D1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6C"/>
    <w:rsid w:val="00060D0E"/>
    <w:rsid w:val="000A288B"/>
    <w:rsid w:val="000B7F84"/>
    <w:rsid w:val="000D5359"/>
    <w:rsid w:val="000E5D52"/>
    <w:rsid w:val="00184E77"/>
    <w:rsid w:val="0019267D"/>
    <w:rsid w:val="001A034A"/>
    <w:rsid w:val="002879C7"/>
    <w:rsid w:val="00295C7F"/>
    <w:rsid w:val="002F42AC"/>
    <w:rsid w:val="003105CB"/>
    <w:rsid w:val="00351129"/>
    <w:rsid w:val="003A583F"/>
    <w:rsid w:val="003D38DF"/>
    <w:rsid w:val="00424CF4"/>
    <w:rsid w:val="004261CB"/>
    <w:rsid w:val="004F586C"/>
    <w:rsid w:val="00511862"/>
    <w:rsid w:val="00571533"/>
    <w:rsid w:val="00583620"/>
    <w:rsid w:val="005A04F2"/>
    <w:rsid w:val="005A09B0"/>
    <w:rsid w:val="005D21C5"/>
    <w:rsid w:val="005F61F8"/>
    <w:rsid w:val="0062069B"/>
    <w:rsid w:val="00672824"/>
    <w:rsid w:val="006E118F"/>
    <w:rsid w:val="006E2878"/>
    <w:rsid w:val="008250F9"/>
    <w:rsid w:val="00826A45"/>
    <w:rsid w:val="00893496"/>
    <w:rsid w:val="008A6AB1"/>
    <w:rsid w:val="008E45B8"/>
    <w:rsid w:val="008F5EEA"/>
    <w:rsid w:val="00926B84"/>
    <w:rsid w:val="009A4038"/>
    <w:rsid w:val="00A01CC8"/>
    <w:rsid w:val="00A14C5A"/>
    <w:rsid w:val="00A9160E"/>
    <w:rsid w:val="00AE6D42"/>
    <w:rsid w:val="00AF5C5D"/>
    <w:rsid w:val="00BB3212"/>
    <w:rsid w:val="00BC1B72"/>
    <w:rsid w:val="00C149F3"/>
    <w:rsid w:val="00C708E0"/>
    <w:rsid w:val="00C71FDC"/>
    <w:rsid w:val="00CD1312"/>
    <w:rsid w:val="00CE2522"/>
    <w:rsid w:val="00D15E1B"/>
    <w:rsid w:val="00DE5998"/>
    <w:rsid w:val="00E36AB0"/>
    <w:rsid w:val="00E612D1"/>
    <w:rsid w:val="00EC46B6"/>
    <w:rsid w:val="00F52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85DB"/>
  <w15:chartTrackingRefBased/>
  <w15:docId w15:val="{DEFEA7A3-76BE-4383-9D54-84E51E2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10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25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verse groenten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rgbClr val="92D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Blad1!$B$2:$B$10</c:f>
              <c:numCache>
                <c:formatCode>General</c:formatCode>
                <c:ptCount val="9"/>
                <c:pt idx="0">
                  <c:v>38.97</c:v>
                </c:pt>
                <c:pt idx="1">
                  <c:v>39.97</c:v>
                </c:pt>
                <c:pt idx="2">
                  <c:v>40.200000000000003</c:v>
                </c:pt>
                <c:pt idx="3">
                  <c:v>40.4</c:v>
                </c:pt>
                <c:pt idx="4">
                  <c:v>40.25</c:v>
                </c:pt>
                <c:pt idx="5">
                  <c:v>40.51</c:v>
                </c:pt>
                <c:pt idx="6">
                  <c:v>40.130000000000003</c:v>
                </c:pt>
                <c:pt idx="7">
                  <c:v>39.090000000000003</c:v>
                </c:pt>
                <c:pt idx="8">
                  <c:v>39.049999999999997</c:v>
                </c:pt>
              </c:numCache>
            </c:numRef>
          </c:val>
          <c:extLst>
            <c:ext xmlns:c16="http://schemas.microsoft.com/office/drawing/2014/chart" uri="{C3380CC4-5D6E-409C-BE32-E72D297353CC}">
              <c16:uniqueId val="{00000000-EBCA-44CC-92BE-B24F6A0A81DC}"/>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a:t>
            </a:r>
            <a:r>
              <a:rPr lang="en-US" sz="1000" b="1" baseline="0"/>
              <a:t> fruit </a:t>
            </a:r>
            <a:r>
              <a:rPr lang="en-US" sz="1000" b="1"/>
              <a:t>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rgbClr val="92D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Blad1!$B$2:$B$10</c:f>
              <c:numCache>
                <c:formatCode>General</c:formatCode>
                <c:ptCount val="9"/>
                <c:pt idx="0">
                  <c:v>51.39</c:v>
                </c:pt>
                <c:pt idx="1">
                  <c:v>50.49</c:v>
                </c:pt>
                <c:pt idx="2">
                  <c:v>51.74</c:v>
                </c:pt>
                <c:pt idx="3">
                  <c:v>49.22</c:v>
                </c:pt>
                <c:pt idx="4">
                  <c:v>50</c:v>
                </c:pt>
                <c:pt idx="5">
                  <c:v>48.54</c:v>
                </c:pt>
                <c:pt idx="6">
                  <c:v>47</c:v>
                </c:pt>
                <c:pt idx="7">
                  <c:v>47.02</c:v>
                </c:pt>
                <c:pt idx="8">
                  <c:v>46.61</c:v>
                </c:pt>
              </c:numCache>
            </c:numRef>
          </c:val>
          <c:extLst>
            <c:ext xmlns:c16="http://schemas.microsoft.com/office/drawing/2014/chart" uri="{C3380CC4-5D6E-409C-BE32-E72D297353CC}">
              <c16:uniqueId val="{00000000-4AB1-4589-A5F9-779ED931F93F}"/>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groentesoorten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06699748290503E-2"/>
          <c:y val="0.15588111989389516"/>
          <c:w val="0.92061314747874246"/>
          <c:h val="0.49078023644914665"/>
        </c:manualLayout>
      </c:layout>
      <c:barChart>
        <c:barDir val="col"/>
        <c:grouping val="clustered"/>
        <c:varyColors val="0"/>
        <c:ser>
          <c:idx val="0"/>
          <c:order val="0"/>
          <c:tx>
            <c:strRef>
              <c:f>Blad1!$B$1</c:f>
              <c:strCache>
                <c:ptCount val="1"/>
                <c:pt idx="0">
                  <c:v>2008</c:v>
                </c:pt>
              </c:strCache>
            </c:strRef>
          </c:tx>
          <c:spPr>
            <a:solidFill>
              <a:srgbClr val="00B0F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courgette</c:v>
                </c:pt>
                <c:pt idx="8">
                  <c:v>champignon</c:v>
                </c:pt>
                <c:pt idx="9">
                  <c:v>komkommer</c:v>
                </c:pt>
              </c:strCache>
            </c:strRef>
          </c:cat>
          <c:val>
            <c:numRef>
              <c:f>Blad1!$B$2:$B$11</c:f>
              <c:numCache>
                <c:formatCode>General</c:formatCode>
                <c:ptCount val="10"/>
                <c:pt idx="0">
                  <c:v>6.53</c:v>
                </c:pt>
                <c:pt idx="1">
                  <c:v>6.26</c:v>
                </c:pt>
                <c:pt idx="2">
                  <c:v>4.4000000000000004</c:v>
                </c:pt>
                <c:pt idx="3">
                  <c:v>4.33</c:v>
                </c:pt>
                <c:pt idx="4">
                  <c:v>2.4</c:v>
                </c:pt>
                <c:pt idx="5">
                  <c:v>1.34</c:v>
                </c:pt>
                <c:pt idx="6">
                  <c:v>1.79</c:v>
                </c:pt>
                <c:pt idx="7">
                  <c:v>1.1599999999999999</c:v>
                </c:pt>
                <c:pt idx="8">
                  <c:v>1.34</c:v>
                </c:pt>
                <c:pt idx="9">
                  <c:v>0.78</c:v>
                </c:pt>
              </c:numCache>
            </c:numRef>
          </c:val>
          <c:extLst>
            <c:ext xmlns:c16="http://schemas.microsoft.com/office/drawing/2014/chart" uri="{C3380CC4-5D6E-409C-BE32-E72D297353CC}">
              <c16:uniqueId val="{00000000-331F-4D5E-9740-DEEC31C7FCCD}"/>
            </c:ext>
          </c:extLst>
        </c:ser>
        <c:ser>
          <c:idx val="1"/>
          <c:order val="1"/>
          <c:tx>
            <c:strRef>
              <c:f>Blad1!$C$1</c:f>
              <c:strCache>
                <c:ptCount val="1"/>
                <c:pt idx="0">
                  <c:v>2015</c:v>
                </c:pt>
              </c:strCache>
            </c:strRef>
          </c:tx>
          <c:spPr>
            <a:solidFill>
              <a:srgbClr val="92D05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courgette</c:v>
                </c:pt>
                <c:pt idx="8">
                  <c:v>champignon</c:v>
                </c:pt>
                <c:pt idx="9">
                  <c:v>komkommer</c:v>
                </c:pt>
              </c:strCache>
            </c:strRef>
          </c:cat>
          <c:val>
            <c:numRef>
              <c:f>Blad1!$C$2:$C$11</c:f>
              <c:numCache>
                <c:formatCode>General</c:formatCode>
                <c:ptCount val="10"/>
                <c:pt idx="0">
                  <c:v>6.14</c:v>
                </c:pt>
                <c:pt idx="1">
                  <c:v>5.7</c:v>
                </c:pt>
                <c:pt idx="2">
                  <c:v>4.38</c:v>
                </c:pt>
                <c:pt idx="3">
                  <c:v>3.15</c:v>
                </c:pt>
                <c:pt idx="4">
                  <c:v>2.4900000000000002</c:v>
                </c:pt>
                <c:pt idx="5">
                  <c:v>1.61</c:v>
                </c:pt>
                <c:pt idx="6">
                  <c:v>1.76</c:v>
                </c:pt>
                <c:pt idx="7">
                  <c:v>1.33</c:v>
                </c:pt>
                <c:pt idx="8">
                  <c:v>1.36</c:v>
                </c:pt>
                <c:pt idx="9">
                  <c:v>1.1299999999999999</c:v>
                </c:pt>
              </c:numCache>
            </c:numRef>
          </c:val>
          <c:extLst>
            <c:ext xmlns:c16="http://schemas.microsoft.com/office/drawing/2014/chart" uri="{C3380CC4-5D6E-409C-BE32-E72D297353CC}">
              <c16:uniqueId val="{00000001-331F-4D5E-9740-DEEC31C7FCCD}"/>
            </c:ext>
          </c:extLst>
        </c:ser>
        <c:ser>
          <c:idx val="2"/>
          <c:order val="2"/>
          <c:tx>
            <c:strRef>
              <c:f>Blad1!$D$1</c:f>
              <c:strCache>
                <c:ptCount val="1"/>
                <c:pt idx="0">
                  <c:v>2016</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courgette</c:v>
                </c:pt>
                <c:pt idx="8">
                  <c:v>champignon</c:v>
                </c:pt>
                <c:pt idx="9">
                  <c:v>komkommer</c:v>
                </c:pt>
              </c:strCache>
            </c:strRef>
          </c:cat>
          <c:val>
            <c:numRef>
              <c:f>Blad1!$D$2:$D$11</c:f>
              <c:numCache>
                <c:formatCode>General</c:formatCode>
                <c:ptCount val="10"/>
                <c:pt idx="0">
                  <c:v>6</c:v>
                </c:pt>
                <c:pt idx="1">
                  <c:v>5.8</c:v>
                </c:pt>
                <c:pt idx="2">
                  <c:v>4.46</c:v>
                </c:pt>
                <c:pt idx="3">
                  <c:v>3.05</c:v>
                </c:pt>
                <c:pt idx="4">
                  <c:v>2.46</c:v>
                </c:pt>
                <c:pt idx="5">
                  <c:v>1.64</c:v>
                </c:pt>
                <c:pt idx="6">
                  <c:v>1.63</c:v>
                </c:pt>
                <c:pt idx="7">
                  <c:v>1.51</c:v>
                </c:pt>
                <c:pt idx="8">
                  <c:v>1.38</c:v>
                </c:pt>
                <c:pt idx="9">
                  <c:v>1.17</c:v>
                </c:pt>
              </c:numCache>
            </c:numRef>
          </c:val>
          <c:extLst>
            <c:ext xmlns:c16="http://schemas.microsoft.com/office/drawing/2014/chart" uri="{C3380CC4-5D6E-409C-BE32-E72D297353CC}">
              <c16:uniqueId val="{00000000-1639-49D6-BD0D-F054D8AE703D}"/>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fruitsoorten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06699748290503E-2"/>
          <c:y val="0.15588111989389516"/>
          <c:w val="0.92061314747874246"/>
          <c:h val="0.43101391054724514"/>
        </c:manualLayout>
      </c:layout>
      <c:barChart>
        <c:barDir val="col"/>
        <c:grouping val="clustered"/>
        <c:varyColors val="0"/>
        <c:ser>
          <c:idx val="0"/>
          <c:order val="0"/>
          <c:tx>
            <c:strRef>
              <c:f>Blad1!$B$1</c:f>
              <c:strCache>
                <c:ptCount val="1"/>
                <c:pt idx="0">
                  <c:v>2008</c:v>
                </c:pt>
              </c:strCache>
            </c:strRef>
          </c:tx>
          <c:spPr>
            <a:solidFill>
              <a:srgbClr val="00B0F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Blad1!$B$2:$B$11</c:f>
              <c:numCache>
                <c:formatCode>General</c:formatCode>
                <c:ptCount val="10"/>
                <c:pt idx="0">
                  <c:v>10.9</c:v>
                </c:pt>
                <c:pt idx="1">
                  <c:v>7.94</c:v>
                </c:pt>
                <c:pt idx="2">
                  <c:v>9.31</c:v>
                </c:pt>
                <c:pt idx="3">
                  <c:v>3.82</c:v>
                </c:pt>
                <c:pt idx="4">
                  <c:v>3.54</c:v>
                </c:pt>
                <c:pt idx="5">
                  <c:v>2.4</c:v>
                </c:pt>
                <c:pt idx="6">
                  <c:v>1.75</c:v>
                </c:pt>
                <c:pt idx="7">
                  <c:v>1.81</c:v>
                </c:pt>
                <c:pt idx="8">
                  <c:v>1.45</c:v>
                </c:pt>
                <c:pt idx="9">
                  <c:v>1.63</c:v>
                </c:pt>
              </c:numCache>
            </c:numRef>
          </c:val>
          <c:extLst>
            <c:ext xmlns:c16="http://schemas.microsoft.com/office/drawing/2014/chart" uri="{C3380CC4-5D6E-409C-BE32-E72D297353CC}">
              <c16:uniqueId val="{00000000-7FC7-4CC8-B376-620B109CBCBE}"/>
            </c:ext>
          </c:extLst>
        </c:ser>
        <c:ser>
          <c:idx val="1"/>
          <c:order val="1"/>
          <c:tx>
            <c:strRef>
              <c:f>Blad1!$C$1</c:f>
              <c:strCache>
                <c:ptCount val="1"/>
                <c:pt idx="0">
                  <c:v>2015</c:v>
                </c:pt>
              </c:strCache>
            </c:strRef>
          </c:tx>
          <c:spPr>
            <a:solidFill>
              <a:srgbClr val="92D05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Blad1!$C$2:$C$11</c:f>
              <c:numCache>
                <c:formatCode>General</c:formatCode>
                <c:ptCount val="10"/>
                <c:pt idx="0">
                  <c:v>8.7899999999999991</c:v>
                </c:pt>
                <c:pt idx="1">
                  <c:v>7.54</c:v>
                </c:pt>
                <c:pt idx="2">
                  <c:v>7.45</c:v>
                </c:pt>
                <c:pt idx="3">
                  <c:v>3.8</c:v>
                </c:pt>
                <c:pt idx="4">
                  <c:v>3.06</c:v>
                </c:pt>
                <c:pt idx="5">
                  <c:v>2.1800000000000002</c:v>
                </c:pt>
                <c:pt idx="6">
                  <c:v>2.23</c:v>
                </c:pt>
                <c:pt idx="7">
                  <c:v>1.77</c:v>
                </c:pt>
                <c:pt idx="8">
                  <c:v>1.71</c:v>
                </c:pt>
                <c:pt idx="9">
                  <c:v>1.47</c:v>
                </c:pt>
              </c:numCache>
            </c:numRef>
          </c:val>
          <c:extLst>
            <c:ext xmlns:c16="http://schemas.microsoft.com/office/drawing/2014/chart" uri="{C3380CC4-5D6E-409C-BE32-E72D297353CC}">
              <c16:uniqueId val="{00000001-7FC7-4CC8-B376-620B109CBCBE}"/>
            </c:ext>
          </c:extLst>
        </c:ser>
        <c:ser>
          <c:idx val="2"/>
          <c:order val="2"/>
          <c:tx>
            <c:strRef>
              <c:f>Blad1!$D$1</c:f>
              <c:strCache>
                <c:ptCount val="1"/>
                <c:pt idx="0">
                  <c:v>2016</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Blad1!$D$2:$D$11</c:f>
              <c:numCache>
                <c:formatCode>General</c:formatCode>
                <c:ptCount val="10"/>
                <c:pt idx="0">
                  <c:v>8.39</c:v>
                </c:pt>
                <c:pt idx="1">
                  <c:v>7.53</c:v>
                </c:pt>
                <c:pt idx="2">
                  <c:v>7.27</c:v>
                </c:pt>
                <c:pt idx="3">
                  <c:v>3.83</c:v>
                </c:pt>
                <c:pt idx="4">
                  <c:v>2.87</c:v>
                </c:pt>
                <c:pt idx="5">
                  <c:v>2.36</c:v>
                </c:pt>
                <c:pt idx="6">
                  <c:v>2.29</c:v>
                </c:pt>
                <c:pt idx="7">
                  <c:v>1.83</c:v>
                </c:pt>
                <c:pt idx="8">
                  <c:v>1.53</c:v>
                </c:pt>
                <c:pt idx="9">
                  <c:v>1.43</c:v>
                </c:pt>
              </c:numCache>
            </c:numRef>
          </c:val>
          <c:extLst>
            <c:ext xmlns:c16="http://schemas.microsoft.com/office/drawing/2014/chart" uri="{C3380CC4-5D6E-409C-BE32-E72D297353CC}">
              <c16:uniqueId val="{00000002-7FC7-4CC8-B376-620B109CBCBE}"/>
            </c:ext>
          </c:extLst>
        </c:ser>
        <c:dLbls>
          <c:showLegendKey val="0"/>
          <c:showVal val="0"/>
          <c:showCatName val="0"/>
          <c:showSerName val="0"/>
          <c:showPercent val="0"/>
          <c:showBubbleSize val="0"/>
        </c:dLbls>
        <c:gapWidth val="3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Aandeel</a:t>
            </a:r>
            <a:r>
              <a:rPr lang="en-US" sz="1000" b="1" baseline="0"/>
              <a:t> distributiekanalen voor verse groenten en fruit i</a:t>
            </a:r>
            <a:r>
              <a:rPr lang="en-US" sz="1000" b="1"/>
              <a:t>n België</a:t>
            </a:r>
            <a:br>
              <a:rPr lang="en-US" sz="1000" b="1"/>
            </a:br>
            <a:r>
              <a:rPr lang="en-US" sz="1000" b="1"/>
              <a:t>(in % van het volume)</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06699748290503E-2"/>
          <c:y val="0.15588111989389516"/>
          <c:w val="0.67882097883432457"/>
          <c:h val="0.7123868519205182"/>
        </c:manualLayout>
      </c:layout>
      <c:barChart>
        <c:barDir val="col"/>
        <c:grouping val="percentStacked"/>
        <c:varyColors val="0"/>
        <c:ser>
          <c:idx val="0"/>
          <c:order val="0"/>
          <c:tx>
            <c:strRef>
              <c:f>Blad1!$B$1</c:f>
              <c:strCache>
                <c:ptCount val="1"/>
                <c:pt idx="0">
                  <c:v>DIS 1</c:v>
                </c:pt>
              </c:strCache>
            </c:strRef>
          </c:tx>
          <c:spPr>
            <a:solidFill>
              <a:srgbClr val="00B0F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Blad1!$B$2:$B$10</c:f>
              <c:numCache>
                <c:formatCode>0.0%</c:formatCode>
                <c:ptCount val="9"/>
                <c:pt idx="0">
                  <c:v>0.45429999999999998</c:v>
                </c:pt>
                <c:pt idx="1">
                  <c:v>0.46929999999999999</c:v>
                </c:pt>
                <c:pt idx="2">
                  <c:v>0.47539999999999999</c:v>
                </c:pt>
                <c:pt idx="3">
                  <c:v>0.47610000000000002</c:v>
                </c:pt>
                <c:pt idx="4">
                  <c:v>0.4758</c:v>
                </c:pt>
                <c:pt idx="5">
                  <c:v>0.47199999999999998</c:v>
                </c:pt>
                <c:pt idx="6">
                  <c:v>0.47960000000000003</c:v>
                </c:pt>
                <c:pt idx="7">
                  <c:v>0.48010000000000003</c:v>
                </c:pt>
                <c:pt idx="8">
                  <c:v>0.48549999999999999</c:v>
                </c:pt>
              </c:numCache>
            </c:numRef>
          </c:val>
          <c:extLst>
            <c:ext xmlns:c16="http://schemas.microsoft.com/office/drawing/2014/chart" uri="{C3380CC4-5D6E-409C-BE32-E72D297353CC}">
              <c16:uniqueId val="{00000000-8DB5-433E-8214-275610E1B5C6}"/>
            </c:ext>
          </c:extLst>
        </c:ser>
        <c:ser>
          <c:idx val="1"/>
          <c:order val="1"/>
          <c:tx>
            <c:strRef>
              <c:f>Blad1!$C$1</c:f>
              <c:strCache>
                <c:ptCount val="1"/>
                <c:pt idx="0">
                  <c:v>Hard discount</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Blad1!$C$2:$C$10</c:f>
              <c:numCache>
                <c:formatCode>0.0%</c:formatCode>
                <c:ptCount val="9"/>
                <c:pt idx="0">
                  <c:v>0.2107</c:v>
                </c:pt>
                <c:pt idx="1">
                  <c:v>0.20050000000000001</c:v>
                </c:pt>
                <c:pt idx="2">
                  <c:v>0.19869999999999999</c:v>
                </c:pt>
                <c:pt idx="3">
                  <c:v>0.2099</c:v>
                </c:pt>
                <c:pt idx="4">
                  <c:v>0.21560000000000001</c:v>
                </c:pt>
                <c:pt idx="5">
                  <c:v>0.2273</c:v>
                </c:pt>
                <c:pt idx="6">
                  <c:v>0.2341</c:v>
                </c:pt>
                <c:pt idx="7">
                  <c:v>0.2402</c:v>
                </c:pt>
                <c:pt idx="8">
                  <c:v>0.23960000000000001</c:v>
                </c:pt>
              </c:numCache>
            </c:numRef>
          </c:val>
          <c:extLst>
            <c:ext xmlns:c16="http://schemas.microsoft.com/office/drawing/2014/chart" uri="{C3380CC4-5D6E-409C-BE32-E72D297353CC}">
              <c16:uniqueId val="{00000001-8DB5-433E-8214-275610E1B5C6}"/>
            </c:ext>
          </c:extLst>
        </c:ser>
        <c:ser>
          <c:idx val="2"/>
          <c:order val="2"/>
          <c:tx>
            <c:strRef>
              <c:f>Blad1!$D$1</c:f>
              <c:strCache>
                <c:ptCount val="1"/>
                <c:pt idx="0">
                  <c:v>Buurtsupermarkten</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Blad1!$D$2:$D$10</c:f>
              <c:numCache>
                <c:formatCode>0.0%</c:formatCode>
                <c:ptCount val="9"/>
                <c:pt idx="0">
                  <c:v>0.12189999999999999</c:v>
                </c:pt>
                <c:pt idx="1">
                  <c:v>0.1241</c:v>
                </c:pt>
                <c:pt idx="2">
                  <c:v>0.13159999999999999</c:v>
                </c:pt>
                <c:pt idx="3">
                  <c:v>0.13650000000000001</c:v>
                </c:pt>
                <c:pt idx="4">
                  <c:v>0.14349999999999999</c:v>
                </c:pt>
                <c:pt idx="5">
                  <c:v>0.14610000000000001</c:v>
                </c:pt>
                <c:pt idx="6">
                  <c:v>0.1386</c:v>
                </c:pt>
                <c:pt idx="7">
                  <c:v>0.13980000000000001</c:v>
                </c:pt>
                <c:pt idx="8">
                  <c:v>0.1421</c:v>
                </c:pt>
              </c:numCache>
            </c:numRef>
          </c:val>
          <c:extLst>
            <c:ext xmlns:c16="http://schemas.microsoft.com/office/drawing/2014/chart" uri="{C3380CC4-5D6E-409C-BE32-E72D297353CC}">
              <c16:uniqueId val="{00000002-8DB5-433E-8214-275610E1B5C6}"/>
            </c:ext>
          </c:extLst>
        </c:ser>
        <c:ser>
          <c:idx val="3"/>
          <c:order val="3"/>
          <c:tx>
            <c:strRef>
              <c:f>Blad1!$E$1</c:f>
              <c:strCache>
                <c:ptCount val="1"/>
                <c:pt idx="0">
                  <c:v>Openbare markt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Blad1!$E$2:$E$10</c:f>
              <c:numCache>
                <c:formatCode>0.0%</c:formatCode>
                <c:ptCount val="9"/>
                <c:pt idx="0">
                  <c:v>9.1600000000000001E-2</c:v>
                </c:pt>
                <c:pt idx="1">
                  <c:v>8.43E-2</c:v>
                </c:pt>
                <c:pt idx="2">
                  <c:v>7.9200000000000007E-2</c:v>
                </c:pt>
                <c:pt idx="3">
                  <c:v>6.8199999999999997E-2</c:v>
                </c:pt>
                <c:pt idx="4">
                  <c:v>6.0499999999999998E-2</c:v>
                </c:pt>
                <c:pt idx="5">
                  <c:v>5.21E-2</c:v>
                </c:pt>
                <c:pt idx="6">
                  <c:v>5.16E-2</c:v>
                </c:pt>
                <c:pt idx="7">
                  <c:v>4.7300000000000002E-2</c:v>
                </c:pt>
                <c:pt idx="8">
                  <c:v>4.5400000000000003E-2</c:v>
                </c:pt>
              </c:numCache>
            </c:numRef>
          </c:val>
          <c:extLst>
            <c:ext xmlns:c16="http://schemas.microsoft.com/office/drawing/2014/chart" uri="{C3380CC4-5D6E-409C-BE32-E72D297353CC}">
              <c16:uniqueId val="{00000003-8DB5-433E-8214-275610E1B5C6}"/>
            </c:ext>
          </c:extLst>
        </c:ser>
        <c:ser>
          <c:idx val="4"/>
          <c:order val="4"/>
          <c:tx>
            <c:strRef>
              <c:f>Blad1!$F$1</c:f>
              <c:strCache>
                <c:ptCount val="1"/>
                <c:pt idx="0">
                  <c:v>Groentewinkels</c:v>
                </c:pt>
              </c:strCache>
            </c:strRef>
          </c:tx>
          <c:spPr>
            <a:solidFill>
              <a:srgbClr val="FF33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Blad1!$F$2:$F$10</c:f>
              <c:numCache>
                <c:formatCode>0.0%</c:formatCode>
                <c:ptCount val="9"/>
                <c:pt idx="0">
                  <c:v>5.8599999999999999E-2</c:v>
                </c:pt>
                <c:pt idx="1">
                  <c:v>5.3600000000000002E-2</c:v>
                </c:pt>
                <c:pt idx="2">
                  <c:v>5.0999999999999997E-2</c:v>
                </c:pt>
                <c:pt idx="3">
                  <c:v>4.7500000000000001E-2</c:v>
                </c:pt>
                <c:pt idx="4">
                  <c:v>4.2299999999999997E-2</c:v>
                </c:pt>
                <c:pt idx="5">
                  <c:v>4.0800000000000003E-2</c:v>
                </c:pt>
                <c:pt idx="6">
                  <c:v>3.7400000000000003E-2</c:v>
                </c:pt>
                <c:pt idx="7">
                  <c:v>3.2899999999999999E-2</c:v>
                </c:pt>
                <c:pt idx="8">
                  <c:v>2.9899999999999999E-2</c:v>
                </c:pt>
              </c:numCache>
            </c:numRef>
          </c:val>
          <c:extLst>
            <c:ext xmlns:c16="http://schemas.microsoft.com/office/drawing/2014/chart" uri="{C3380CC4-5D6E-409C-BE32-E72D297353CC}">
              <c16:uniqueId val="{00000004-8DB5-433E-8214-275610E1B5C6}"/>
            </c:ext>
          </c:extLst>
        </c:ser>
        <c:ser>
          <c:idx val="5"/>
          <c:order val="5"/>
          <c:tx>
            <c:strRef>
              <c:f>Blad1!$G$1</c:f>
              <c:strCache>
                <c:ptCount val="1"/>
                <c:pt idx="0">
                  <c:v>Hoeve/producent</c:v>
                </c:pt>
              </c:strCache>
            </c:strRef>
          </c:tx>
          <c:spPr>
            <a:solidFill>
              <a:schemeClr val="accent6">
                <a:lumMod val="40000"/>
                <a:lumOff val="60000"/>
              </a:schemeClr>
            </a:solidFill>
            <a:ln>
              <a:noFill/>
            </a:ln>
            <a:effectLst/>
          </c:spPr>
          <c:invertIfNegative val="0"/>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Blad1!$G$2:$G$10</c:f>
              <c:numCache>
                <c:formatCode>0.0%</c:formatCode>
                <c:ptCount val="9"/>
                <c:pt idx="0">
                  <c:v>1.9599999999999999E-2</c:v>
                </c:pt>
                <c:pt idx="1">
                  <c:v>1.84E-2</c:v>
                </c:pt>
                <c:pt idx="2">
                  <c:v>1.6299999999999999E-2</c:v>
                </c:pt>
                <c:pt idx="3">
                  <c:v>1.55E-2</c:v>
                </c:pt>
                <c:pt idx="4">
                  <c:v>1.34E-2</c:v>
                </c:pt>
                <c:pt idx="5">
                  <c:v>1.2999999999999999E-2</c:v>
                </c:pt>
                <c:pt idx="6">
                  <c:v>1.3299999999999999E-2</c:v>
                </c:pt>
                <c:pt idx="7">
                  <c:v>1.21E-2</c:v>
                </c:pt>
                <c:pt idx="8">
                  <c:v>1.1299999999999999E-2</c:v>
                </c:pt>
              </c:numCache>
            </c:numRef>
          </c:val>
          <c:extLst>
            <c:ext xmlns:c16="http://schemas.microsoft.com/office/drawing/2014/chart" uri="{C3380CC4-5D6E-409C-BE32-E72D297353CC}">
              <c16:uniqueId val="{00000005-8DB5-433E-8214-275610E1B5C6}"/>
            </c:ext>
          </c:extLst>
        </c:ser>
        <c:ser>
          <c:idx val="6"/>
          <c:order val="6"/>
          <c:tx>
            <c:strRef>
              <c:f>Blad1!$H$1</c:f>
              <c:strCache>
                <c:ptCount val="1"/>
                <c:pt idx="0">
                  <c:v>overige</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Blad1!$H$2:$H$10</c:f>
              <c:numCache>
                <c:formatCode>0.0%</c:formatCode>
                <c:ptCount val="9"/>
                <c:pt idx="0">
                  <c:v>4.3200000000000002E-2</c:v>
                </c:pt>
                <c:pt idx="1">
                  <c:v>4.99E-2</c:v>
                </c:pt>
                <c:pt idx="2">
                  <c:v>4.7800000000000002E-2</c:v>
                </c:pt>
                <c:pt idx="3">
                  <c:v>4.6199999999999998E-2</c:v>
                </c:pt>
                <c:pt idx="4">
                  <c:v>4.8899999999999999E-2</c:v>
                </c:pt>
                <c:pt idx="5">
                  <c:v>4.87E-2</c:v>
                </c:pt>
                <c:pt idx="6">
                  <c:v>4.53E-2</c:v>
                </c:pt>
                <c:pt idx="7">
                  <c:v>4.7600000000000003E-2</c:v>
                </c:pt>
                <c:pt idx="8">
                  <c:v>4.6100000000000002E-2</c:v>
                </c:pt>
              </c:numCache>
            </c:numRef>
          </c:val>
          <c:extLst>
            <c:ext xmlns:c16="http://schemas.microsoft.com/office/drawing/2014/chart" uri="{C3380CC4-5D6E-409C-BE32-E72D297353CC}">
              <c16:uniqueId val="{00000006-8DB5-433E-8214-275610E1B5C6}"/>
            </c:ext>
          </c:extLst>
        </c:ser>
        <c:dLbls>
          <c:showLegendKey val="0"/>
          <c:showVal val="0"/>
          <c:showCatName val="0"/>
          <c:showSerName val="0"/>
          <c:showPercent val="0"/>
          <c:showBubbleSize val="0"/>
        </c:dLbls>
        <c:gapWidth val="30"/>
        <c:overlap val="10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legend>
      <c:legendPos val="r"/>
      <c:layout>
        <c:manualLayout>
          <c:xMode val="edge"/>
          <c:yMode val="edge"/>
          <c:x val="0.75574274917662077"/>
          <c:y val="0.1551813641023404"/>
          <c:w val="0.2300341857528565"/>
          <c:h val="0.713667560945463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BB7B-2E8E-4118-94CD-07FDBBED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897</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Liliane Driesen</cp:lastModifiedBy>
  <cp:revision>5</cp:revision>
  <cp:lastPrinted>2017-04-04T12:27:00Z</cp:lastPrinted>
  <dcterms:created xsi:type="dcterms:W3CDTF">2017-04-04T12:27:00Z</dcterms:created>
  <dcterms:modified xsi:type="dcterms:W3CDTF">2017-04-18T13:02:00Z</dcterms:modified>
</cp:coreProperties>
</file>